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CD08ED" w:rsidRPr="0057138A" w:rsidRDefault="00CD08ED" w:rsidP="00CD08ED">
      <w:pPr>
        <w:jc w:val="center"/>
        <w:rPr>
          <w:b/>
          <w:lang w:eastAsia="lt-LT"/>
        </w:rPr>
      </w:pPr>
      <w:r w:rsidRPr="0057138A">
        <w:rPr>
          <w:b/>
          <w:lang w:eastAsia="lt-LT"/>
        </w:rPr>
        <w:t>KLAIPĖDOS LOPŠELIO-DARŽELIO „NYKŠTUKAS“</w:t>
      </w:r>
    </w:p>
    <w:p w:rsidR="0006079E" w:rsidRDefault="00CD08ED" w:rsidP="00CD08ED">
      <w:pPr>
        <w:jc w:val="center"/>
        <w:rPr>
          <w:b/>
        </w:rPr>
      </w:pPr>
      <w:r w:rsidRPr="0057138A">
        <w:rPr>
          <w:b/>
          <w:bCs/>
          <w:lang w:eastAsia="lt-LT"/>
        </w:rPr>
        <w:t>2021 METŲ VEIKLOS ATASKAITA</w:t>
      </w:r>
    </w:p>
    <w:p w:rsidR="00832CC9" w:rsidRPr="00F72A1E" w:rsidRDefault="00832CC9" w:rsidP="0006079E">
      <w:pPr>
        <w:jc w:val="center"/>
      </w:pPr>
    </w:p>
    <w:p w:rsidR="00FF27DF" w:rsidRDefault="00CD08ED" w:rsidP="00FF27DF">
      <w:pPr>
        <w:ind w:firstLine="709"/>
        <w:jc w:val="both"/>
        <w:rPr>
          <w:lang w:eastAsia="lt-LT"/>
        </w:rPr>
      </w:pPr>
      <w:r w:rsidRPr="0057138A">
        <w:rPr>
          <w:rFonts w:eastAsia="Calibri"/>
        </w:rPr>
        <w:t>Klaipėdos lopšelis-darželis „Nykštukas“ (toliau – Mokykla)</w:t>
      </w:r>
      <w:r w:rsidRPr="0057138A">
        <w:t xml:space="preserve"> įgyvendina </w:t>
      </w:r>
      <w:r w:rsidRPr="0057138A">
        <w:rPr>
          <w:lang w:eastAsia="lt-LT"/>
        </w:rPr>
        <w:t xml:space="preserve">ikimokyklinio ugdymo programą, bendrąją priešmokyklinio ugdymo programą, neformaliojo ikimokyklinio amžiaus vaikų švietimo teatrinio ugdymo programą, neformaliojo priešmokyklinio amžiaus vaikų švietimo teatrinio ugdymo programą, neformaliojo vaikų švietimo fizinio ugdymo ir sveikos gyvensenos programas. </w:t>
      </w:r>
      <w:r w:rsidRPr="0057138A">
        <w:t xml:space="preserve">2021 m. rugsėjo 1 d. duomenimis Mokykloje ugdyti 194 mokiniai (2020 m. – 193). </w:t>
      </w:r>
      <w:r w:rsidRPr="0057138A">
        <w:rPr>
          <w:lang w:eastAsia="lt-LT"/>
        </w:rPr>
        <w:t>Buvo suformuotos dvi priešmokyklinio ugdymo grupės, devynios ikimokyklinio ugdymo grupės, iš jų trys ankstyvojo amžiaus. Ugdymas organizuotas pagal 10,5 val. modelį. Dirbo 24 pedagogai ir 23 nepedagoginiai darbuotojai.</w:t>
      </w:r>
    </w:p>
    <w:p w:rsidR="00FF27DF" w:rsidRDefault="00CD08ED" w:rsidP="00FF27DF">
      <w:pPr>
        <w:ind w:firstLine="709"/>
        <w:jc w:val="both"/>
        <w:rPr>
          <w:lang w:eastAsia="lt-LT"/>
        </w:rPr>
      </w:pPr>
      <w:r w:rsidRPr="0057138A">
        <w:t xml:space="preserve">Praėjusiais metais Mokykla veikė vadovaudamasi 2021–2023 m. strateginiu planu (toliau – Strateginis planas) ir 2021 m. veiklos planu (toliau – Veiklos planas). Mokyklos bendruomenė 2021 m. išsikėlė šias prioritetinės veiklos kryptis: 1) profesinis pedagogų skaitmeninio raštingumo tobulinimas (gilinimas), taikant virtualias ir nuotoliniam mokymui(si) skirtas platformas; 2) mokinių pasiekimų ir veiksmingos švietimo pagalbos įvairių gebėjimų mokiniams teikimo gerinimas; 3) duomenų analize ir įsivertinimu pagrįstos švietimo kokybės užtikrinimas, kuriant savivaldos, socialinės partnerystės ir vadovų lyderystės darną. Buvo siekiama šių strateginių tikslų – tenkinti ikimokyklinio ir priešmokyklinio amžiaus vaikų ugdymo(si) poreikius, atsižvelgiant į vaiko galias bei </w:t>
      </w:r>
      <w:r w:rsidRPr="0057138A">
        <w:rPr>
          <w:bCs/>
          <w:lang w:eastAsia="lt-LT"/>
        </w:rPr>
        <w:t xml:space="preserve">atnaujinti ugdymo priemones ir aplinką, siekiant užtikrinti higienos normų reikalavimus. </w:t>
      </w:r>
      <w:r w:rsidRPr="0057138A">
        <w:t>Strateginiam tikslui įgyvendinti Strateginiame ir Veiklos planuose buvo iškelti konkretūs veiklos tikslai ir uždaviniai, numatytos priemonės laukiamam rezultatui pasiekti.</w:t>
      </w:r>
    </w:p>
    <w:p w:rsidR="00FF27DF" w:rsidRDefault="00CD08ED" w:rsidP="00FF27DF">
      <w:pPr>
        <w:ind w:firstLine="709"/>
        <w:jc w:val="both"/>
        <w:rPr>
          <w:lang w:eastAsia="lt-LT"/>
        </w:rPr>
      </w:pPr>
      <w:r w:rsidRPr="0057138A">
        <w:t>Siekiant Strateginio plano pirmojo tikslo – tenkinti ikimokyklinio ir priešmokyklinio amžiaus vaikų ugdymo(si) poreikius, atsižvelgiant į vaiko galias – Mokyklos veikla buvo orientuojama į</w:t>
      </w:r>
      <w:r w:rsidRPr="0057138A">
        <w:rPr>
          <w:rFonts w:eastAsia="Calibri"/>
          <w:lang w:eastAsia="lt-LT"/>
        </w:rPr>
        <w:t xml:space="preserve"> </w:t>
      </w:r>
      <w:r w:rsidRPr="0057138A">
        <w:rPr>
          <w:rFonts w:eastAsia="Calibri"/>
        </w:rPr>
        <w:t>mokinių pasiekimų ir veiksmingos švietimo pagalbos teikimo gerinimą.</w:t>
      </w:r>
      <w:r w:rsidRPr="0057138A">
        <w:t xml:space="preserve"> Veiklos plano </w:t>
      </w:r>
      <w:r w:rsidRPr="0057138A">
        <w:rPr>
          <w:rFonts w:eastAsia="Calibri"/>
          <w:lang w:eastAsia="lt-LT"/>
        </w:rPr>
        <w:t>įgyvendinimui iškeltas tikslas – u</w:t>
      </w:r>
      <w:r w:rsidRPr="0057138A">
        <w:rPr>
          <w:lang w:eastAsia="lt-LT"/>
        </w:rPr>
        <w:t>gdymo turinį orientuoti į vaiko poreikius, saviraiškos ir kompetencijų ugdymą</w:t>
      </w:r>
      <w:r w:rsidRPr="0057138A">
        <w:t xml:space="preserve">. Tikslui pasiekti buvo vykdomi keturi Veiklos plano uždaviniai: </w:t>
      </w:r>
    </w:p>
    <w:p w:rsidR="00FF27DF" w:rsidRDefault="00CD08ED" w:rsidP="00FF27DF">
      <w:pPr>
        <w:ind w:firstLine="709"/>
        <w:jc w:val="both"/>
        <w:rPr>
          <w:lang w:eastAsia="lt-LT"/>
        </w:rPr>
      </w:pPr>
      <w:r w:rsidRPr="0057138A">
        <w:t xml:space="preserve">– įgyvendinant pirmąjį uždavinį – </w:t>
      </w:r>
      <w:r w:rsidRPr="0057138A">
        <w:rPr>
          <w:lang w:eastAsia="lt-LT"/>
        </w:rPr>
        <w:t>tęsti ir stiprinti sveikatos stiprinimo, saviraiškos veiklos programas</w:t>
      </w:r>
      <w:r w:rsidRPr="0057138A">
        <w:t xml:space="preserve"> – buvo pa</w:t>
      </w:r>
      <w:r w:rsidRPr="0057138A">
        <w:rPr>
          <w:rFonts w:eastAsia="Calibri"/>
          <w:lang w:eastAsia="lt-LT"/>
        </w:rPr>
        <w:t xml:space="preserve">siekta visų mokinių įsitraukimo į Mokykloje vykdomas neformaliojo švietimo programas, mokyklos savitumo išryškinimo, aktyvesnio dalyvavimo respublikos mastu vykdomuose projektuose. </w:t>
      </w:r>
      <w:r w:rsidRPr="0057138A">
        <w:t>Atlikus Mokyklos sveikatos stiprinimo veiklos kokybės vertinimą, p</w:t>
      </w:r>
      <w:r w:rsidRPr="0057138A">
        <w:rPr>
          <w:rFonts w:eastAsia="Calibri"/>
          <w:lang w:eastAsia="lt-LT"/>
        </w:rPr>
        <w:t>arengta penkerių metų sveikatos prevencijos ir stiprinimo programa „Augu sveikas su Nykštuku“. Mokykla 2021 m. pripažinta sveikatą stiprinančia mokykla. Įsitraukimas į Nacionalinį sveikatą stiprinančių mokyklų tinklą sutelkė</w:t>
      </w:r>
      <w:r w:rsidRPr="0057138A">
        <w:t xml:space="preserve"> bendruomenės pastangas kurti sveikatai palankią aplinką. Siekiant gauti papildomų lėšų, parengtas projektas Sporto rėmimo fondui.</w:t>
      </w:r>
      <w:r w:rsidRPr="0057138A">
        <w:rPr>
          <w:rFonts w:eastAsia="Calibri"/>
          <w:lang w:eastAsia="lt-LT"/>
        </w:rPr>
        <w:t xml:space="preserve"> Įgyvendinant teatrinio ugdymo programą, mokiniai turėjo daugiau galimybių saviraiškai, </w:t>
      </w:r>
      <w:r w:rsidRPr="0057138A">
        <w:rPr>
          <w:lang w:eastAsia="lt-LT"/>
        </w:rPr>
        <w:t xml:space="preserve">socialinių, komunikavimo kompetencijų, kurių aktualumas ypač išryškėjo pandeminiu laikotarpiu, ugdymuisi. </w:t>
      </w:r>
      <w:r w:rsidRPr="0057138A">
        <w:rPr>
          <w:rFonts w:eastAsia="Calibri"/>
          <w:lang w:eastAsia="lt-LT"/>
        </w:rPr>
        <w:t>90</w:t>
      </w:r>
      <w:r>
        <w:rPr>
          <w:rFonts w:eastAsia="Calibri"/>
          <w:lang w:eastAsia="lt-LT"/>
        </w:rPr>
        <w:t xml:space="preserve"> </w:t>
      </w:r>
      <w:r w:rsidRPr="0057138A">
        <w:t>%</w:t>
      </w:r>
      <w:r w:rsidRPr="0057138A">
        <w:rPr>
          <w:rFonts w:eastAsia="Calibri"/>
          <w:lang w:eastAsia="lt-LT"/>
        </w:rPr>
        <w:t xml:space="preserve"> mokytojų patobulino </w:t>
      </w:r>
      <w:r w:rsidRPr="0057138A">
        <w:t>skaitmeninio raštingumo kompetencijas ir žinias pritaikė rengdami veiklos pristatymus, v</w:t>
      </w:r>
      <w:r w:rsidRPr="0057138A">
        <w:rPr>
          <w:rFonts w:eastAsia="Calibri"/>
          <w:lang w:eastAsia="lt-LT"/>
        </w:rPr>
        <w:t>irtualiomis priemonėmis</w:t>
      </w:r>
      <w:r w:rsidRPr="0057138A">
        <w:rPr>
          <w:rFonts w:eastAsia="Calibri"/>
        </w:rPr>
        <w:t xml:space="preserve"> </w:t>
      </w:r>
      <w:r w:rsidRPr="0057138A">
        <w:rPr>
          <w:rFonts w:eastAsia="Calibri"/>
          <w:lang w:eastAsia="lt-LT"/>
        </w:rPr>
        <w:t>organizuodami</w:t>
      </w:r>
      <w:r w:rsidRPr="0057138A">
        <w:rPr>
          <w:rFonts w:eastAsia="Calibri"/>
        </w:rPr>
        <w:t xml:space="preserve"> tradicinius </w:t>
      </w:r>
      <w:r w:rsidRPr="0057138A">
        <w:rPr>
          <w:rFonts w:eastAsia="Calibri"/>
          <w:lang w:eastAsia="lt-LT"/>
        </w:rPr>
        <w:t xml:space="preserve">renginius. Mokykla, dalyvaudama Klaipėdos miesto ikimokyklinių įstaigų vaikų saviraiškos festivalio „Vaidinimų kraitelė“ jubiliejiniuose renginiuose, tęsė </w:t>
      </w:r>
      <w:r w:rsidRPr="0057138A">
        <w:rPr>
          <w:rFonts w:eastAsia="Calibri"/>
        </w:rPr>
        <w:t>bendradarbiavimą su socialiniais partneriais</w:t>
      </w:r>
      <w:r w:rsidRPr="0057138A">
        <w:rPr>
          <w:rFonts w:eastAsia="Calibri"/>
          <w:lang w:eastAsia="lt-LT"/>
        </w:rPr>
        <w:t xml:space="preserve">. Iš viso Mokykloje buvo parengta dešimt parodų, mieste ir respublikoje dalyvauta trisdešimtyje kūrybinės veiklos projektų. Pristačius teatrinės veiklos savitumą ikimokyklinio ugdymo įstaigų asociacijos „Po Nykštuko kepure“ sklaidos renginyje, išaugo Mokyklos žinomumas respublikos mastu; </w:t>
      </w:r>
    </w:p>
    <w:p w:rsidR="00FF27DF" w:rsidRDefault="00CD08ED" w:rsidP="00FF27DF">
      <w:pPr>
        <w:ind w:firstLine="709"/>
        <w:jc w:val="both"/>
        <w:rPr>
          <w:lang w:eastAsia="lt-LT"/>
        </w:rPr>
      </w:pPr>
      <w:r w:rsidRPr="0057138A">
        <w:t xml:space="preserve">– įgyvendinant antrąjį uždavinį – </w:t>
      </w:r>
      <w:r w:rsidRPr="0057138A">
        <w:rPr>
          <w:lang w:eastAsia="lt-LT"/>
        </w:rPr>
        <w:t>plėtoti patyriminio ugdymo modelį</w:t>
      </w:r>
      <w:r w:rsidRPr="0057138A">
        <w:t xml:space="preserve"> – </w:t>
      </w:r>
      <w:r w:rsidRPr="0057138A">
        <w:rPr>
          <w:rFonts w:eastAsia="Calibri"/>
          <w:lang w:eastAsia="lt-LT"/>
        </w:rPr>
        <w:t>M</w:t>
      </w:r>
      <w:r w:rsidRPr="0057138A">
        <w:rPr>
          <w:rFonts w:eastAsia="Calibri"/>
        </w:rPr>
        <w:t xml:space="preserve">okyklos teritorijoje pasodinta obelų, kriaušių, įrengtos lysvės. Mokykla prisijungė prie užsienio šalių mokymosi lauke </w:t>
      </w:r>
      <w:r w:rsidRPr="0057138A">
        <w:rPr>
          <w:rFonts w:eastAsia="Calibri"/>
        </w:rPr>
        <w:lastRenderedPageBreak/>
        <w:t xml:space="preserve">„Outdoor classroom day“ iniciatyvos. </w:t>
      </w:r>
      <w:r w:rsidRPr="0057138A">
        <w:rPr>
          <w:rFonts w:eastAsia="Calibri"/>
          <w:lang w:eastAsia="lt-LT"/>
        </w:rPr>
        <w:t>Pradėtas įgyvendinti Europos Sąjungos (toliau</w:t>
      </w:r>
      <w:r w:rsidRPr="0057138A">
        <w:t xml:space="preserve"> – </w:t>
      </w:r>
      <w:r w:rsidRPr="0057138A">
        <w:rPr>
          <w:rFonts w:eastAsia="Calibri"/>
          <w:lang w:eastAsia="lt-LT"/>
        </w:rPr>
        <w:t>ES) struktūrinių fondų lėšomis finansuojamas projektas „Lean modelio diegimas siekiant pagerinti ugdymo kokybę, paskatinti pokyčius ikimokyklinio ugdymo įstaigų veikloje“. Šis projektas įtraukė į mokymus 92</w:t>
      </w:r>
      <w:r>
        <w:rPr>
          <w:rFonts w:eastAsia="Calibri"/>
          <w:lang w:eastAsia="lt-LT"/>
        </w:rPr>
        <w:t xml:space="preserve"> </w:t>
      </w:r>
      <w:r w:rsidRPr="0057138A">
        <w:t>%</w:t>
      </w:r>
      <w:r w:rsidRPr="0057138A">
        <w:rPr>
          <w:rFonts w:eastAsia="Calibri"/>
          <w:lang w:eastAsia="lt-LT"/>
        </w:rPr>
        <w:t xml:space="preserve"> Mokyklos mokytojų. Lean metodikos įrankių naudojimas padės užtikrinti teigiamą poveikį mokinių pasiekimams ir pažangai. 85</w:t>
      </w:r>
      <w:r>
        <w:rPr>
          <w:rFonts w:eastAsia="Calibri"/>
          <w:lang w:eastAsia="lt-LT"/>
        </w:rPr>
        <w:t xml:space="preserve"> </w:t>
      </w:r>
      <w:r w:rsidRPr="0057138A">
        <w:t>% m</w:t>
      </w:r>
      <w:r w:rsidRPr="0057138A">
        <w:rPr>
          <w:rFonts w:eastAsia="Calibri"/>
          <w:lang w:eastAsia="lt-LT"/>
        </w:rPr>
        <w:t>okytojų pagilino žinias ir pasirengė patyriminio ugdymo modelio įtvirtinimui. Penkiolika mokytojų dalinosi patirtimi miesto ir respublikos metodinės sklaidos renginiuose. Siekiant peržiūrėti ir atnaujinti ikimokyklinio ugdymo programą, suburta mokytojų komanda, surengta diskusija „Patyriminio ugdymosi priemonės ir galimybės“. Įsigijus priemonių sudarytos sąlygos vykdyti daugiau patyriminio ugdymo veiklų;</w:t>
      </w:r>
    </w:p>
    <w:p w:rsidR="00FF27DF" w:rsidRDefault="00CD08ED" w:rsidP="00FF27DF">
      <w:pPr>
        <w:ind w:firstLine="709"/>
        <w:jc w:val="both"/>
        <w:rPr>
          <w:lang w:eastAsia="lt-LT"/>
        </w:rPr>
      </w:pPr>
      <w:r w:rsidRPr="0057138A">
        <w:t xml:space="preserve">– įgyvendinant trečiąjį uždavinį – </w:t>
      </w:r>
      <w:r w:rsidRPr="0057138A">
        <w:rPr>
          <w:lang w:eastAsia="lt-LT"/>
        </w:rPr>
        <w:t>kurti palankią emocinę aplinką mokyklos bendruomenėje</w:t>
      </w:r>
      <w:r w:rsidRPr="0057138A">
        <w:t xml:space="preserve"> – </w:t>
      </w:r>
      <w:r w:rsidRPr="0057138A">
        <w:rPr>
          <w:rFonts w:eastAsia="Calibri"/>
          <w:lang w:eastAsia="lt-LT"/>
        </w:rPr>
        <w:t>smurto prevencijos ir intervencijos nuostatos įtrauktos į atnaujintas mokymo sutartis. Keturi mokytojai pasirengė įgyvendinti socialinio emocinio ugdymo programas. Ikimokyklinio ugdymo grupėse vykdoma socialinio emocinio ugdymo programa „Kimoči“, priešmokyklinio ugdymo grupėse</w:t>
      </w:r>
      <w:r w:rsidRPr="0057138A">
        <w:t xml:space="preserve"> – </w:t>
      </w:r>
      <w:r w:rsidRPr="0057138A">
        <w:rPr>
          <w:rFonts w:eastAsia="Calibri"/>
          <w:lang w:eastAsia="lt-LT"/>
        </w:rPr>
        <w:t>„Zipio draugai“. Trys mokytojai skaitė pranešimus miesto socialinio emocinio ugdymo sklaidos renginiuose „Kolega kolegai“. Patobulėjo šių mokytojų gebėjimas dalintis patirtimi. Mokyklos bendruomenė dalyvavo respublikiniame projekte „</w:t>
      </w:r>
      <w:r w:rsidRPr="0057138A">
        <w:rPr>
          <w:rFonts w:eastAsia="Calibri"/>
        </w:rPr>
        <w:t xml:space="preserve">Tolerancijos savaitė“. Tai padėjo ugdyti mokinių socialines kompetencijas. Mokytojai ir tėvai klausė Klaipėdos pedagoginės psichologinės tarnybos specialistų paskaitų ir įgijo žinių apie bendradarbiavimą, konfliktų valdymą. </w:t>
      </w:r>
      <w:r w:rsidRPr="0057138A">
        <w:rPr>
          <w:rFonts w:eastAsia="Calibri"/>
          <w:lang w:eastAsia="lt-LT"/>
        </w:rPr>
        <w:t xml:space="preserve">Parengta Mokyklos </w:t>
      </w:r>
      <w:r w:rsidRPr="0057138A">
        <w:rPr>
          <w:bCs/>
        </w:rPr>
        <w:t xml:space="preserve">mobingo ir psichologinio smurto darbo aplinkoje prevencijos ir intervencijos </w:t>
      </w:r>
      <w:r w:rsidRPr="0057138A">
        <w:rPr>
          <w:rFonts w:eastAsia="Calibri"/>
          <w:lang w:eastAsia="lt-LT"/>
        </w:rPr>
        <w:t xml:space="preserve">tvarka paskatino bendruomenę aktyviau įsitraukti į emocinės aplinkos mokykloje įsivertinimą; </w:t>
      </w:r>
    </w:p>
    <w:p w:rsidR="00FF27DF" w:rsidRDefault="00CD08ED" w:rsidP="00FF27DF">
      <w:pPr>
        <w:ind w:firstLine="709"/>
        <w:jc w:val="both"/>
        <w:rPr>
          <w:lang w:eastAsia="lt-LT"/>
        </w:rPr>
      </w:pPr>
      <w:r w:rsidRPr="0057138A">
        <w:t xml:space="preserve">– įgyvendinant ketvirtąjį uždavinį – analizuoti ugdymo pasiekimus, taikant vaiko pažangos matavimo sistemą – </w:t>
      </w:r>
      <w:r w:rsidRPr="0057138A">
        <w:rPr>
          <w:rFonts w:eastAsia="Calibri"/>
        </w:rPr>
        <w:t>buvo atliktas pasiekimų ir pažangos vertinimo visais amžiaus tarpsniais bei rengiantis mokyklai gilusis įsivertinimas. Rengiant individualius pokalbius</w:t>
      </w:r>
      <w:r>
        <w:rPr>
          <w:rFonts w:eastAsia="Calibri"/>
        </w:rPr>
        <w:t>,</w:t>
      </w:r>
      <w:r w:rsidRPr="0057138A">
        <w:rPr>
          <w:rFonts w:eastAsia="Calibri"/>
        </w:rPr>
        <w:t xml:space="preserve"> pasiekta didesnio tėvų įsitraukimo į pasiekimų vertinimą. Bendradarbiaujant specialistams</w:t>
      </w:r>
      <w:r>
        <w:rPr>
          <w:rFonts w:eastAsia="Calibri"/>
        </w:rPr>
        <w:t>,</w:t>
      </w:r>
      <w:r w:rsidRPr="0057138A">
        <w:rPr>
          <w:rFonts w:eastAsia="Calibri"/>
        </w:rPr>
        <w:t xml:space="preserve"> p</w:t>
      </w:r>
      <w:r w:rsidRPr="0057138A">
        <w:rPr>
          <w:rFonts w:eastAsia="Calibri"/>
          <w:shd w:val="clear" w:color="auto" w:fill="FFFFFF"/>
        </w:rPr>
        <w:t xml:space="preserve">akoreguotas individualios pažangos stebėjimo dokumentavimas. </w:t>
      </w:r>
      <w:r w:rsidRPr="0057138A">
        <w:rPr>
          <w:rFonts w:eastAsia="Calibri"/>
        </w:rPr>
        <w:t>Š</w:t>
      </w:r>
      <w:r w:rsidRPr="0057138A">
        <w:rPr>
          <w:rFonts w:eastAsia="Calibri"/>
          <w:lang w:eastAsia="lt-LT"/>
        </w:rPr>
        <w:t>vietimo pagalba buvo suteikta dešimčiai mokinių. Pritaikytos ikimokyklinio ugdymo programos, parengtos individualios ugdymosi programos. Vaiko gerovės komisijos sprendimu organizuoti papildomi fizinio ugdymo užsiėmimai. Teikiama mokytojo padėjėjo pagalba. Vaikų pasiekimai ir teikiamos pagalbos efektyvumas analizuoti Mokytojų tarybos, Vaiko gerovės komisijos posėdžiuose. 100</w:t>
      </w:r>
      <w:r>
        <w:rPr>
          <w:rFonts w:eastAsia="Calibri"/>
          <w:lang w:eastAsia="lt-LT"/>
        </w:rPr>
        <w:t xml:space="preserve"> </w:t>
      </w:r>
      <w:r w:rsidRPr="0057138A">
        <w:t xml:space="preserve">% mokytojų ir specialistų naudojo elektroninį dienyną virtualiam mokymui bei bendravimui su tėvais. </w:t>
      </w:r>
      <w:r w:rsidRPr="0057138A">
        <w:rPr>
          <w:rFonts w:eastAsia="Calibri"/>
          <w:lang w:eastAsia="lt-LT"/>
        </w:rPr>
        <w:t>Lyginant su ankstesniais metais, 50</w:t>
      </w:r>
      <w:r>
        <w:rPr>
          <w:rFonts w:eastAsia="Calibri"/>
          <w:lang w:eastAsia="lt-LT"/>
        </w:rPr>
        <w:t xml:space="preserve"> </w:t>
      </w:r>
      <w:r w:rsidRPr="0057138A">
        <w:t>%</w:t>
      </w:r>
      <w:r w:rsidRPr="0057138A">
        <w:rPr>
          <w:rFonts w:eastAsia="Calibri"/>
          <w:lang w:eastAsia="lt-LT"/>
        </w:rPr>
        <w:t xml:space="preserve"> daugiau tėvų naudojosi elektroniniu dienynu. </w:t>
      </w:r>
    </w:p>
    <w:p w:rsidR="00FF27DF" w:rsidRDefault="00CD08ED" w:rsidP="00FF27DF">
      <w:pPr>
        <w:ind w:firstLine="709"/>
        <w:jc w:val="both"/>
        <w:rPr>
          <w:lang w:eastAsia="lt-LT"/>
        </w:rPr>
      </w:pPr>
      <w:r w:rsidRPr="0057138A">
        <w:t xml:space="preserve">Siekiant Strateginio plano antrojo tikslo – </w:t>
      </w:r>
      <w:r w:rsidRPr="0057138A">
        <w:rPr>
          <w:bCs/>
          <w:lang w:eastAsia="lt-LT"/>
        </w:rPr>
        <w:t>atnaujinti Mokyklos ugdymo priemones ir aplinką, siekiant užtikrinti higienos normų reikalavimus</w:t>
      </w:r>
      <w:r w:rsidRPr="0057138A">
        <w:t xml:space="preserve"> – veikla buvo orientuojama į edukacinių aplinkų kūrimą, patalpų būklės atnaujinimą, šiuolaikinių ugdymo(si) priemonių įsigijimą. Tikslui pasiekti buvo vykdomas uždavinys – pagerinti ugdymo paslaugų teikimą ir Mokyklos patrauklumą, atnaujinus lauko ir vidaus erdves. Įgyvendinant šį uždavinį, įrengtos naujos edukacinės erdvės: lauko edukacinė erdvė augalų tyrinėjimams, lauko edukacinė erdvė vabzdžių stebėjimui, vidaus edukacinė erdvė teatrinės veiklos eksperimentams. Įrengus šias erdves buvo sudarytos galimybės organizuoti daugiau patyriminių veiklų. Veiklos šiose erdvėse praturtino mokinių patirtį, pagerino pažintinės, kūrybinės, sveikatos stiprinimo, komunikavimo, socialinės veiklos pasiekimus. </w:t>
      </w:r>
    </w:p>
    <w:p w:rsidR="00CD08ED" w:rsidRPr="00FF27DF" w:rsidRDefault="00CD08ED" w:rsidP="00FF27DF">
      <w:pPr>
        <w:ind w:firstLine="709"/>
        <w:jc w:val="both"/>
        <w:rPr>
          <w:lang w:eastAsia="lt-LT"/>
        </w:rPr>
      </w:pPr>
      <w:bookmarkStart w:id="2" w:name="_GoBack"/>
      <w:bookmarkEnd w:id="2"/>
      <w:r w:rsidRPr="0057138A">
        <w:t>2021 m. Mokyklos finansinė situacija:</w:t>
      </w:r>
    </w:p>
    <w:tbl>
      <w:tblPr>
        <w:tblStyle w:val="Lentelstinklelis"/>
        <w:tblW w:w="0" w:type="auto"/>
        <w:tblLook w:val="04A0" w:firstRow="1" w:lastRow="0" w:firstColumn="1" w:lastColumn="0" w:noHBand="0" w:noVBand="1"/>
      </w:tblPr>
      <w:tblGrid>
        <w:gridCol w:w="2389"/>
        <w:gridCol w:w="1495"/>
        <w:gridCol w:w="1445"/>
        <w:gridCol w:w="1283"/>
        <w:gridCol w:w="3016"/>
      </w:tblGrid>
      <w:tr w:rsidR="00CD08ED" w:rsidRPr="0057138A" w:rsidTr="007371F5">
        <w:tc>
          <w:tcPr>
            <w:tcW w:w="2389" w:type="dxa"/>
            <w:vMerge w:val="restart"/>
            <w:tcBorders>
              <w:top w:val="single" w:sz="4" w:space="0" w:color="auto"/>
              <w:left w:val="single" w:sz="4" w:space="0" w:color="auto"/>
              <w:bottom w:val="single" w:sz="4" w:space="0" w:color="auto"/>
              <w:right w:val="single" w:sz="4" w:space="0" w:color="auto"/>
            </w:tcBorders>
            <w:hideMark/>
          </w:tcPr>
          <w:p w:rsidR="00CD08ED" w:rsidRPr="0057138A" w:rsidRDefault="00CD08ED" w:rsidP="007371F5">
            <w:pPr>
              <w:jc w:val="center"/>
            </w:pPr>
            <w:r w:rsidRPr="0057138A">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CD08ED" w:rsidRPr="0057138A" w:rsidRDefault="00CD08ED" w:rsidP="007371F5">
            <w:pPr>
              <w:jc w:val="center"/>
            </w:pPr>
            <w:r w:rsidRPr="0057138A">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rsidR="00CD08ED" w:rsidRPr="0057138A" w:rsidRDefault="00CD08ED" w:rsidP="007371F5">
            <w:pPr>
              <w:jc w:val="both"/>
            </w:pPr>
            <w:r w:rsidRPr="0057138A">
              <w:t>Pastabos</w:t>
            </w:r>
          </w:p>
          <w:p w:rsidR="00CD08ED" w:rsidRPr="0057138A" w:rsidRDefault="00CD08ED" w:rsidP="007371F5">
            <w:pPr>
              <w:jc w:val="center"/>
            </w:pPr>
          </w:p>
        </w:tc>
      </w:tr>
      <w:tr w:rsidR="00CD08ED" w:rsidRPr="0057138A" w:rsidTr="007371F5">
        <w:trPr>
          <w:trHeight w:val="5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08ED" w:rsidRPr="0057138A" w:rsidRDefault="00CD08ED" w:rsidP="007371F5"/>
        </w:tc>
        <w:tc>
          <w:tcPr>
            <w:tcW w:w="1495" w:type="dxa"/>
            <w:tcBorders>
              <w:top w:val="single" w:sz="4" w:space="0" w:color="auto"/>
              <w:left w:val="single" w:sz="4" w:space="0" w:color="auto"/>
              <w:bottom w:val="single" w:sz="4" w:space="0" w:color="auto"/>
              <w:right w:val="single" w:sz="4" w:space="0" w:color="auto"/>
            </w:tcBorders>
            <w:hideMark/>
          </w:tcPr>
          <w:p w:rsidR="00CD08ED" w:rsidRPr="0057138A" w:rsidRDefault="00CD08ED" w:rsidP="007371F5">
            <w:r w:rsidRPr="0057138A">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CD08ED" w:rsidRPr="0057138A" w:rsidRDefault="00CD08ED" w:rsidP="007371F5">
            <w:r w:rsidRPr="0057138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CD08ED" w:rsidRPr="0057138A" w:rsidRDefault="00CD08ED" w:rsidP="007371F5">
            <w:r w:rsidRPr="0057138A">
              <w:t>Įvykdymas (%)</w:t>
            </w:r>
          </w:p>
        </w:tc>
        <w:tc>
          <w:tcPr>
            <w:tcW w:w="3016" w:type="dxa"/>
            <w:vMerge/>
            <w:tcBorders>
              <w:top w:val="single" w:sz="4" w:space="0" w:color="auto"/>
              <w:left w:val="single" w:sz="4" w:space="0" w:color="auto"/>
              <w:bottom w:val="single" w:sz="4" w:space="0" w:color="auto"/>
              <w:right w:val="single" w:sz="4" w:space="0" w:color="auto"/>
            </w:tcBorders>
            <w:vAlign w:val="center"/>
            <w:hideMark/>
          </w:tcPr>
          <w:p w:rsidR="00CD08ED" w:rsidRPr="0057138A" w:rsidRDefault="00CD08ED" w:rsidP="007371F5"/>
        </w:tc>
      </w:tr>
      <w:tr w:rsidR="00CD08ED" w:rsidRPr="0057138A" w:rsidTr="007371F5">
        <w:trPr>
          <w:trHeight w:val="415"/>
        </w:trPr>
        <w:tc>
          <w:tcPr>
            <w:tcW w:w="2389" w:type="dxa"/>
            <w:tcBorders>
              <w:top w:val="single" w:sz="4" w:space="0" w:color="auto"/>
              <w:left w:val="single" w:sz="4" w:space="0" w:color="auto"/>
              <w:bottom w:val="single" w:sz="4" w:space="0" w:color="auto"/>
              <w:right w:val="single" w:sz="4" w:space="0" w:color="auto"/>
            </w:tcBorders>
            <w:hideMark/>
          </w:tcPr>
          <w:p w:rsidR="00CD08ED" w:rsidRPr="0057138A" w:rsidRDefault="00CD08ED" w:rsidP="007371F5">
            <w:r w:rsidRPr="0057138A">
              <w:t>Savivaldybės biudžetas (SB)</w:t>
            </w:r>
          </w:p>
        </w:tc>
        <w:tc>
          <w:tcPr>
            <w:tcW w:w="1495" w:type="dxa"/>
            <w:tcBorders>
              <w:top w:val="single" w:sz="4" w:space="0" w:color="auto"/>
              <w:left w:val="single" w:sz="4" w:space="0" w:color="auto"/>
              <w:bottom w:val="single" w:sz="4" w:space="0" w:color="auto"/>
              <w:right w:val="single" w:sz="4" w:space="0" w:color="auto"/>
            </w:tcBorders>
          </w:tcPr>
          <w:p w:rsidR="00CD08ED" w:rsidRPr="0057138A" w:rsidRDefault="00CD08ED" w:rsidP="007371F5">
            <w:r w:rsidRPr="0057138A">
              <w:t>467200</w:t>
            </w:r>
          </w:p>
        </w:tc>
        <w:tc>
          <w:tcPr>
            <w:tcW w:w="1445" w:type="dxa"/>
            <w:tcBorders>
              <w:top w:val="single" w:sz="4" w:space="0" w:color="auto"/>
              <w:left w:val="single" w:sz="4" w:space="0" w:color="auto"/>
              <w:bottom w:val="single" w:sz="4" w:space="0" w:color="auto"/>
              <w:right w:val="single" w:sz="4" w:space="0" w:color="auto"/>
            </w:tcBorders>
          </w:tcPr>
          <w:p w:rsidR="00CD08ED" w:rsidRPr="0057138A" w:rsidRDefault="00CD08ED" w:rsidP="007371F5">
            <w:r w:rsidRPr="0057138A">
              <w:t>466510</w:t>
            </w:r>
          </w:p>
        </w:tc>
        <w:tc>
          <w:tcPr>
            <w:tcW w:w="1283" w:type="dxa"/>
            <w:tcBorders>
              <w:top w:val="single" w:sz="4" w:space="0" w:color="auto"/>
              <w:left w:val="single" w:sz="4" w:space="0" w:color="auto"/>
              <w:bottom w:val="single" w:sz="4" w:space="0" w:color="auto"/>
              <w:right w:val="single" w:sz="4" w:space="0" w:color="auto"/>
            </w:tcBorders>
          </w:tcPr>
          <w:p w:rsidR="00CD08ED" w:rsidRPr="0057138A" w:rsidRDefault="00CD08ED" w:rsidP="007371F5">
            <w:r w:rsidRPr="0057138A">
              <w:t>99.85</w:t>
            </w:r>
            <w:r>
              <w:t xml:space="preserve"> </w:t>
            </w:r>
            <w:r w:rsidRPr="0057138A">
              <w:t>%</w:t>
            </w:r>
          </w:p>
        </w:tc>
        <w:tc>
          <w:tcPr>
            <w:tcW w:w="3016" w:type="dxa"/>
            <w:tcBorders>
              <w:top w:val="single" w:sz="4" w:space="0" w:color="auto"/>
              <w:left w:val="single" w:sz="4" w:space="0" w:color="auto"/>
              <w:bottom w:val="single" w:sz="4" w:space="0" w:color="auto"/>
              <w:right w:val="single" w:sz="4" w:space="0" w:color="auto"/>
            </w:tcBorders>
          </w:tcPr>
          <w:p w:rsidR="00CD08ED" w:rsidRPr="0057138A" w:rsidRDefault="00CD08ED" w:rsidP="007371F5"/>
        </w:tc>
      </w:tr>
      <w:tr w:rsidR="00CD08ED" w:rsidRPr="0057138A" w:rsidTr="007371F5">
        <w:tc>
          <w:tcPr>
            <w:tcW w:w="2389" w:type="dxa"/>
            <w:tcBorders>
              <w:top w:val="single" w:sz="4" w:space="0" w:color="auto"/>
              <w:left w:val="single" w:sz="4" w:space="0" w:color="auto"/>
              <w:bottom w:val="single" w:sz="4" w:space="0" w:color="auto"/>
              <w:right w:val="single" w:sz="4" w:space="0" w:color="auto"/>
            </w:tcBorders>
            <w:hideMark/>
          </w:tcPr>
          <w:p w:rsidR="00CD08ED" w:rsidRPr="0057138A" w:rsidRDefault="00CD08ED" w:rsidP="007371F5">
            <w:r w:rsidRPr="0057138A">
              <w:t>Specialioji tikslinė dotacija (VB)</w:t>
            </w:r>
          </w:p>
        </w:tc>
        <w:tc>
          <w:tcPr>
            <w:tcW w:w="1495" w:type="dxa"/>
            <w:tcBorders>
              <w:top w:val="single" w:sz="4" w:space="0" w:color="auto"/>
              <w:left w:val="single" w:sz="4" w:space="0" w:color="auto"/>
              <w:bottom w:val="single" w:sz="4" w:space="0" w:color="auto"/>
              <w:right w:val="single" w:sz="4" w:space="0" w:color="auto"/>
            </w:tcBorders>
          </w:tcPr>
          <w:p w:rsidR="00CD08ED" w:rsidRPr="0057138A" w:rsidRDefault="00CD08ED" w:rsidP="007371F5">
            <w:r w:rsidRPr="0057138A">
              <w:t>278900</w:t>
            </w:r>
          </w:p>
        </w:tc>
        <w:tc>
          <w:tcPr>
            <w:tcW w:w="1445" w:type="dxa"/>
            <w:tcBorders>
              <w:top w:val="single" w:sz="4" w:space="0" w:color="auto"/>
              <w:left w:val="single" w:sz="4" w:space="0" w:color="auto"/>
              <w:bottom w:val="single" w:sz="4" w:space="0" w:color="auto"/>
              <w:right w:val="single" w:sz="4" w:space="0" w:color="auto"/>
            </w:tcBorders>
          </w:tcPr>
          <w:p w:rsidR="00CD08ED" w:rsidRPr="0057138A" w:rsidRDefault="00CD08ED" w:rsidP="007371F5">
            <w:r w:rsidRPr="0057138A">
              <w:t>278898</w:t>
            </w:r>
          </w:p>
        </w:tc>
        <w:tc>
          <w:tcPr>
            <w:tcW w:w="1283" w:type="dxa"/>
            <w:tcBorders>
              <w:top w:val="single" w:sz="4" w:space="0" w:color="auto"/>
              <w:left w:val="single" w:sz="4" w:space="0" w:color="auto"/>
              <w:bottom w:val="single" w:sz="4" w:space="0" w:color="auto"/>
              <w:right w:val="single" w:sz="4" w:space="0" w:color="auto"/>
            </w:tcBorders>
          </w:tcPr>
          <w:p w:rsidR="00CD08ED" w:rsidRPr="0057138A" w:rsidRDefault="00CD08ED" w:rsidP="007371F5">
            <w:r w:rsidRPr="0057138A">
              <w:t>99.99</w:t>
            </w:r>
            <w:r>
              <w:t xml:space="preserve"> </w:t>
            </w:r>
            <w:r w:rsidRPr="0057138A">
              <w:t>%</w:t>
            </w:r>
          </w:p>
        </w:tc>
        <w:tc>
          <w:tcPr>
            <w:tcW w:w="3016" w:type="dxa"/>
            <w:tcBorders>
              <w:top w:val="single" w:sz="4" w:space="0" w:color="auto"/>
              <w:left w:val="single" w:sz="4" w:space="0" w:color="auto"/>
              <w:bottom w:val="single" w:sz="4" w:space="0" w:color="auto"/>
              <w:right w:val="single" w:sz="4" w:space="0" w:color="auto"/>
            </w:tcBorders>
          </w:tcPr>
          <w:p w:rsidR="00CD08ED" w:rsidRPr="0057138A" w:rsidRDefault="00CD08ED" w:rsidP="007371F5"/>
        </w:tc>
      </w:tr>
      <w:tr w:rsidR="00CD08ED" w:rsidRPr="0057138A" w:rsidTr="007371F5">
        <w:tc>
          <w:tcPr>
            <w:tcW w:w="2389" w:type="dxa"/>
            <w:tcBorders>
              <w:top w:val="single" w:sz="4" w:space="0" w:color="auto"/>
              <w:left w:val="single" w:sz="4" w:space="0" w:color="auto"/>
              <w:bottom w:val="single" w:sz="4" w:space="0" w:color="auto"/>
              <w:right w:val="single" w:sz="4" w:space="0" w:color="auto"/>
            </w:tcBorders>
            <w:hideMark/>
          </w:tcPr>
          <w:p w:rsidR="00CD08ED" w:rsidRPr="0057138A" w:rsidRDefault="00CD08ED" w:rsidP="007371F5">
            <w:r w:rsidRPr="0057138A">
              <w:t>Mokyklos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rsidR="00CD08ED" w:rsidRPr="0057138A" w:rsidRDefault="00CD08ED" w:rsidP="007371F5">
            <w:r w:rsidRPr="0057138A">
              <w:t>90700</w:t>
            </w:r>
          </w:p>
        </w:tc>
        <w:tc>
          <w:tcPr>
            <w:tcW w:w="1445" w:type="dxa"/>
            <w:tcBorders>
              <w:top w:val="single" w:sz="4" w:space="0" w:color="auto"/>
              <w:left w:val="single" w:sz="4" w:space="0" w:color="auto"/>
              <w:bottom w:val="single" w:sz="4" w:space="0" w:color="auto"/>
              <w:right w:val="single" w:sz="4" w:space="0" w:color="auto"/>
            </w:tcBorders>
          </w:tcPr>
          <w:p w:rsidR="00CD08ED" w:rsidRPr="0057138A" w:rsidRDefault="00CD08ED" w:rsidP="007371F5">
            <w:r w:rsidRPr="0057138A">
              <w:t>72272</w:t>
            </w:r>
          </w:p>
        </w:tc>
        <w:tc>
          <w:tcPr>
            <w:tcW w:w="1283" w:type="dxa"/>
            <w:tcBorders>
              <w:top w:val="single" w:sz="4" w:space="0" w:color="auto"/>
              <w:left w:val="single" w:sz="4" w:space="0" w:color="auto"/>
              <w:bottom w:val="single" w:sz="4" w:space="0" w:color="auto"/>
              <w:right w:val="single" w:sz="4" w:space="0" w:color="auto"/>
            </w:tcBorders>
          </w:tcPr>
          <w:p w:rsidR="00CD08ED" w:rsidRPr="0057138A" w:rsidRDefault="00CD08ED" w:rsidP="007371F5">
            <w:r w:rsidRPr="0057138A">
              <w:t>79.68</w:t>
            </w:r>
            <w:r>
              <w:t xml:space="preserve"> </w:t>
            </w:r>
            <w:r w:rsidRPr="0057138A">
              <w:t>%</w:t>
            </w:r>
          </w:p>
        </w:tc>
        <w:tc>
          <w:tcPr>
            <w:tcW w:w="3016" w:type="dxa"/>
            <w:tcBorders>
              <w:top w:val="single" w:sz="4" w:space="0" w:color="auto"/>
              <w:left w:val="single" w:sz="4" w:space="0" w:color="auto"/>
              <w:bottom w:val="single" w:sz="4" w:space="0" w:color="auto"/>
              <w:right w:val="single" w:sz="4" w:space="0" w:color="auto"/>
            </w:tcBorders>
          </w:tcPr>
          <w:p w:rsidR="00CD08ED" w:rsidRPr="0057138A" w:rsidRDefault="00CD08ED" w:rsidP="00CD08ED">
            <w:pPr>
              <w:jc w:val="both"/>
            </w:pPr>
            <w:r w:rsidRPr="0057138A">
              <w:t>Dėl ekstremalios situacijos ir karantino mokykla nesurinko planuotų pajamų.</w:t>
            </w:r>
          </w:p>
        </w:tc>
      </w:tr>
      <w:tr w:rsidR="00CD08ED" w:rsidRPr="0057138A" w:rsidTr="007371F5">
        <w:trPr>
          <w:trHeight w:val="477"/>
        </w:trPr>
        <w:tc>
          <w:tcPr>
            <w:tcW w:w="2389" w:type="dxa"/>
            <w:tcBorders>
              <w:top w:val="single" w:sz="4" w:space="0" w:color="auto"/>
              <w:left w:val="single" w:sz="4" w:space="0" w:color="auto"/>
              <w:bottom w:val="single" w:sz="4" w:space="0" w:color="auto"/>
              <w:right w:val="single" w:sz="4" w:space="0" w:color="auto"/>
            </w:tcBorders>
            <w:hideMark/>
          </w:tcPr>
          <w:p w:rsidR="00CD08ED" w:rsidRPr="0057138A" w:rsidRDefault="00CD08ED" w:rsidP="007371F5">
            <w:r w:rsidRPr="0057138A">
              <w:lastRenderedPageBreak/>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CD08ED" w:rsidRPr="0057138A" w:rsidRDefault="00CD08ED" w:rsidP="007371F5">
            <w:r w:rsidRPr="0057138A">
              <w:t>–</w:t>
            </w:r>
          </w:p>
        </w:tc>
        <w:tc>
          <w:tcPr>
            <w:tcW w:w="1445" w:type="dxa"/>
            <w:tcBorders>
              <w:top w:val="single" w:sz="4" w:space="0" w:color="auto"/>
              <w:left w:val="single" w:sz="4" w:space="0" w:color="auto"/>
              <w:bottom w:val="single" w:sz="4" w:space="0" w:color="auto"/>
              <w:right w:val="single" w:sz="4" w:space="0" w:color="auto"/>
            </w:tcBorders>
          </w:tcPr>
          <w:p w:rsidR="00CD08ED" w:rsidRPr="0057138A" w:rsidRDefault="00CD08ED" w:rsidP="007371F5">
            <w:r w:rsidRPr="0057138A">
              <w:t>72272</w:t>
            </w:r>
          </w:p>
        </w:tc>
        <w:tc>
          <w:tcPr>
            <w:tcW w:w="1283" w:type="dxa"/>
            <w:tcBorders>
              <w:top w:val="single" w:sz="4" w:space="0" w:color="auto"/>
              <w:left w:val="single" w:sz="4" w:space="0" w:color="auto"/>
              <w:bottom w:val="single" w:sz="4" w:space="0" w:color="auto"/>
              <w:right w:val="single" w:sz="4" w:space="0" w:color="auto"/>
            </w:tcBorders>
          </w:tcPr>
          <w:p w:rsidR="00CD08ED" w:rsidRPr="0057138A" w:rsidRDefault="00CD08ED" w:rsidP="007371F5"/>
        </w:tc>
        <w:tc>
          <w:tcPr>
            <w:tcW w:w="3016" w:type="dxa"/>
            <w:tcBorders>
              <w:top w:val="single" w:sz="4" w:space="0" w:color="auto"/>
              <w:left w:val="single" w:sz="4" w:space="0" w:color="auto"/>
              <w:bottom w:val="single" w:sz="4" w:space="0" w:color="auto"/>
              <w:right w:val="single" w:sz="4" w:space="0" w:color="auto"/>
            </w:tcBorders>
          </w:tcPr>
          <w:p w:rsidR="00CD08ED" w:rsidRPr="0057138A" w:rsidRDefault="00CD08ED" w:rsidP="007371F5"/>
        </w:tc>
      </w:tr>
      <w:tr w:rsidR="00CD08ED" w:rsidRPr="0057138A" w:rsidTr="007371F5">
        <w:trPr>
          <w:trHeight w:val="125"/>
        </w:trPr>
        <w:tc>
          <w:tcPr>
            <w:tcW w:w="2389" w:type="dxa"/>
            <w:tcBorders>
              <w:top w:val="single" w:sz="4" w:space="0" w:color="auto"/>
              <w:left w:val="single" w:sz="4" w:space="0" w:color="auto"/>
              <w:bottom w:val="single" w:sz="4" w:space="0" w:color="auto"/>
              <w:right w:val="single" w:sz="4" w:space="0" w:color="auto"/>
            </w:tcBorders>
            <w:hideMark/>
          </w:tcPr>
          <w:p w:rsidR="00CD08ED" w:rsidRPr="0057138A" w:rsidRDefault="00CD08ED" w:rsidP="00CD08ED">
            <w:r w:rsidRPr="0057138A">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CD08ED" w:rsidRDefault="00CD08ED" w:rsidP="00CD08ED">
            <w:r w:rsidRPr="000008C7">
              <w:t>–</w:t>
            </w:r>
          </w:p>
        </w:tc>
        <w:tc>
          <w:tcPr>
            <w:tcW w:w="1445" w:type="dxa"/>
            <w:tcBorders>
              <w:top w:val="single" w:sz="4" w:space="0" w:color="auto"/>
              <w:left w:val="single" w:sz="4" w:space="0" w:color="auto"/>
              <w:bottom w:val="single" w:sz="4" w:space="0" w:color="auto"/>
              <w:right w:val="single" w:sz="4" w:space="0" w:color="auto"/>
            </w:tcBorders>
          </w:tcPr>
          <w:p w:rsidR="00CD08ED" w:rsidRDefault="00CD08ED" w:rsidP="00CD08ED">
            <w:r w:rsidRPr="000008C7">
              <w:t>–</w:t>
            </w:r>
          </w:p>
        </w:tc>
        <w:tc>
          <w:tcPr>
            <w:tcW w:w="1283" w:type="dxa"/>
            <w:tcBorders>
              <w:top w:val="single" w:sz="4" w:space="0" w:color="auto"/>
              <w:left w:val="single" w:sz="4" w:space="0" w:color="auto"/>
              <w:bottom w:val="single" w:sz="4" w:space="0" w:color="auto"/>
              <w:right w:val="single" w:sz="4" w:space="0" w:color="auto"/>
            </w:tcBorders>
          </w:tcPr>
          <w:p w:rsidR="00CD08ED" w:rsidRPr="0057138A" w:rsidRDefault="00CD08ED" w:rsidP="00CD08ED"/>
        </w:tc>
        <w:tc>
          <w:tcPr>
            <w:tcW w:w="3016" w:type="dxa"/>
            <w:tcBorders>
              <w:top w:val="single" w:sz="4" w:space="0" w:color="auto"/>
              <w:left w:val="single" w:sz="4" w:space="0" w:color="auto"/>
              <w:bottom w:val="single" w:sz="4" w:space="0" w:color="auto"/>
              <w:right w:val="single" w:sz="4" w:space="0" w:color="auto"/>
            </w:tcBorders>
          </w:tcPr>
          <w:p w:rsidR="00CD08ED" w:rsidRPr="0057138A" w:rsidRDefault="00CD08ED" w:rsidP="00CD08ED"/>
        </w:tc>
      </w:tr>
      <w:tr w:rsidR="00CD08ED" w:rsidRPr="0057138A" w:rsidTr="007371F5">
        <w:tc>
          <w:tcPr>
            <w:tcW w:w="2389" w:type="dxa"/>
            <w:tcBorders>
              <w:top w:val="single" w:sz="4" w:space="0" w:color="auto"/>
              <w:left w:val="single" w:sz="4" w:space="0" w:color="auto"/>
              <w:bottom w:val="single" w:sz="4" w:space="0" w:color="auto"/>
              <w:right w:val="single" w:sz="4" w:space="0" w:color="auto"/>
            </w:tcBorders>
            <w:hideMark/>
          </w:tcPr>
          <w:p w:rsidR="00CD08ED" w:rsidRPr="0057138A" w:rsidRDefault="00CD08ED" w:rsidP="007371F5">
            <w:r w:rsidRPr="0057138A">
              <w:t>Kitos lėšos (parama 1,2 % GM ir kt.)</w:t>
            </w:r>
          </w:p>
        </w:tc>
        <w:tc>
          <w:tcPr>
            <w:tcW w:w="1495" w:type="dxa"/>
            <w:tcBorders>
              <w:top w:val="single" w:sz="4" w:space="0" w:color="auto"/>
              <w:left w:val="single" w:sz="4" w:space="0" w:color="auto"/>
              <w:bottom w:val="single" w:sz="4" w:space="0" w:color="auto"/>
              <w:right w:val="single" w:sz="4" w:space="0" w:color="auto"/>
            </w:tcBorders>
          </w:tcPr>
          <w:p w:rsidR="00CD08ED" w:rsidRPr="0057138A" w:rsidRDefault="00CD08ED" w:rsidP="007371F5">
            <w:r w:rsidRPr="0057138A">
              <w:t>7500</w:t>
            </w:r>
          </w:p>
        </w:tc>
        <w:tc>
          <w:tcPr>
            <w:tcW w:w="1445" w:type="dxa"/>
            <w:tcBorders>
              <w:top w:val="single" w:sz="4" w:space="0" w:color="auto"/>
              <w:left w:val="single" w:sz="4" w:space="0" w:color="auto"/>
              <w:bottom w:val="single" w:sz="4" w:space="0" w:color="auto"/>
              <w:right w:val="single" w:sz="4" w:space="0" w:color="auto"/>
            </w:tcBorders>
          </w:tcPr>
          <w:p w:rsidR="00CD08ED" w:rsidRPr="0057138A" w:rsidRDefault="00CD08ED" w:rsidP="007371F5">
            <w:r w:rsidRPr="0057138A">
              <w:t>2364</w:t>
            </w:r>
          </w:p>
        </w:tc>
        <w:tc>
          <w:tcPr>
            <w:tcW w:w="1283" w:type="dxa"/>
            <w:tcBorders>
              <w:top w:val="single" w:sz="4" w:space="0" w:color="auto"/>
              <w:left w:val="single" w:sz="4" w:space="0" w:color="auto"/>
              <w:bottom w:val="single" w:sz="4" w:space="0" w:color="auto"/>
              <w:right w:val="single" w:sz="4" w:space="0" w:color="auto"/>
            </w:tcBorders>
          </w:tcPr>
          <w:p w:rsidR="00CD08ED" w:rsidRPr="0057138A" w:rsidRDefault="00CD08ED" w:rsidP="007371F5">
            <w:r w:rsidRPr="0057138A">
              <w:t>31.52</w:t>
            </w:r>
            <w:r>
              <w:t xml:space="preserve"> </w:t>
            </w:r>
            <w:r w:rsidRPr="0057138A">
              <w:t>%</w:t>
            </w:r>
          </w:p>
        </w:tc>
        <w:tc>
          <w:tcPr>
            <w:tcW w:w="3016" w:type="dxa"/>
            <w:tcBorders>
              <w:top w:val="single" w:sz="4" w:space="0" w:color="auto"/>
              <w:left w:val="single" w:sz="4" w:space="0" w:color="auto"/>
              <w:bottom w:val="single" w:sz="4" w:space="0" w:color="auto"/>
              <w:right w:val="single" w:sz="4" w:space="0" w:color="auto"/>
            </w:tcBorders>
          </w:tcPr>
          <w:p w:rsidR="00CD08ED" w:rsidRPr="0057138A" w:rsidRDefault="00CD08ED" w:rsidP="007371F5"/>
        </w:tc>
      </w:tr>
      <w:tr w:rsidR="00CD08ED" w:rsidRPr="0057138A" w:rsidTr="007371F5">
        <w:trPr>
          <w:trHeight w:val="430"/>
        </w:trPr>
        <w:tc>
          <w:tcPr>
            <w:tcW w:w="2389" w:type="dxa"/>
            <w:tcBorders>
              <w:top w:val="single" w:sz="4" w:space="0" w:color="auto"/>
              <w:left w:val="single" w:sz="4" w:space="0" w:color="auto"/>
              <w:bottom w:val="single" w:sz="4" w:space="0" w:color="auto"/>
              <w:right w:val="single" w:sz="4" w:space="0" w:color="auto"/>
            </w:tcBorders>
            <w:hideMark/>
          </w:tcPr>
          <w:p w:rsidR="00CD08ED" w:rsidRPr="0057138A" w:rsidRDefault="00CD08ED" w:rsidP="007371F5">
            <w:r w:rsidRPr="0057138A">
              <w:t>Iš viso</w:t>
            </w:r>
          </w:p>
        </w:tc>
        <w:tc>
          <w:tcPr>
            <w:tcW w:w="1495" w:type="dxa"/>
            <w:tcBorders>
              <w:top w:val="single" w:sz="4" w:space="0" w:color="auto"/>
              <w:left w:val="single" w:sz="4" w:space="0" w:color="auto"/>
              <w:bottom w:val="single" w:sz="4" w:space="0" w:color="auto"/>
              <w:right w:val="single" w:sz="4" w:space="0" w:color="auto"/>
            </w:tcBorders>
          </w:tcPr>
          <w:p w:rsidR="00CD08ED" w:rsidRPr="0057138A" w:rsidRDefault="00CD08ED" w:rsidP="007371F5">
            <w:r w:rsidRPr="0057138A">
              <w:t>844300</w:t>
            </w:r>
          </w:p>
        </w:tc>
        <w:tc>
          <w:tcPr>
            <w:tcW w:w="1445" w:type="dxa"/>
            <w:tcBorders>
              <w:top w:val="single" w:sz="4" w:space="0" w:color="auto"/>
              <w:left w:val="single" w:sz="4" w:space="0" w:color="auto"/>
              <w:bottom w:val="single" w:sz="4" w:space="0" w:color="auto"/>
              <w:right w:val="single" w:sz="4" w:space="0" w:color="auto"/>
            </w:tcBorders>
          </w:tcPr>
          <w:p w:rsidR="00CD08ED" w:rsidRPr="0057138A" w:rsidRDefault="00CD08ED" w:rsidP="007371F5">
            <w:r w:rsidRPr="0057138A">
              <w:t>820044</w:t>
            </w:r>
          </w:p>
        </w:tc>
        <w:tc>
          <w:tcPr>
            <w:tcW w:w="1283" w:type="dxa"/>
            <w:tcBorders>
              <w:top w:val="single" w:sz="4" w:space="0" w:color="auto"/>
              <w:left w:val="single" w:sz="4" w:space="0" w:color="auto"/>
              <w:bottom w:val="single" w:sz="4" w:space="0" w:color="auto"/>
              <w:right w:val="single" w:sz="4" w:space="0" w:color="auto"/>
            </w:tcBorders>
          </w:tcPr>
          <w:p w:rsidR="00CD08ED" w:rsidRPr="0057138A" w:rsidRDefault="00CD08ED" w:rsidP="007371F5">
            <w:r w:rsidRPr="0057138A">
              <w:t>97.12</w:t>
            </w:r>
            <w:r>
              <w:t xml:space="preserve"> </w:t>
            </w:r>
            <w:r w:rsidRPr="0057138A">
              <w:t>%</w:t>
            </w:r>
          </w:p>
        </w:tc>
        <w:tc>
          <w:tcPr>
            <w:tcW w:w="3016" w:type="dxa"/>
            <w:tcBorders>
              <w:top w:val="single" w:sz="4" w:space="0" w:color="auto"/>
              <w:left w:val="single" w:sz="4" w:space="0" w:color="auto"/>
              <w:bottom w:val="single" w:sz="4" w:space="0" w:color="auto"/>
              <w:right w:val="single" w:sz="4" w:space="0" w:color="auto"/>
            </w:tcBorders>
          </w:tcPr>
          <w:p w:rsidR="00CD08ED" w:rsidRPr="0057138A" w:rsidRDefault="00CD08ED" w:rsidP="007371F5"/>
        </w:tc>
      </w:tr>
      <w:tr w:rsidR="00CD08ED" w:rsidRPr="0057138A" w:rsidTr="007371F5">
        <w:tc>
          <w:tcPr>
            <w:tcW w:w="5329" w:type="dxa"/>
            <w:gridSpan w:val="3"/>
            <w:tcBorders>
              <w:top w:val="single" w:sz="4" w:space="0" w:color="auto"/>
              <w:left w:val="single" w:sz="4" w:space="0" w:color="auto"/>
              <w:bottom w:val="single" w:sz="4" w:space="0" w:color="auto"/>
              <w:right w:val="single" w:sz="4" w:space="0" w:color="auto"/>
            </w:tcBorders>
            <w:hideMark/>
          </w:tcPr>
          <w:p w:rsidR="00CD08ED" w:rsidRPr="0057138A" w:rsidRDefault="00CD08ED" w:rsidP="007371F5">
            <w:r w:rsidRPr="0057138A">
              <w:t xml:space="preserve">Kreditinis įsiskolinimas (pagal visus finansavimo šaltinius) 2022 m. sausio 1 d. </w:t>
            </w:r>
          </w:p>
        </w:tc>
        <w:tc>
          <w:tcPr>
            <w:tcW w:w="4299" w:type="dxa"/>
            <w:gridSpan w:val="2"/>
            <w:tcBorders>
              <w:top w:val="single" w:sz="4" w:space="0" w:color="auto"/>
              <w:left w:val="single" w:sz="4" w:space="0" w:color="auto"/>
              <w:bottom w:val="single" w:sz="4" w:space="0" w:color="auto"/>
              <w:right w:val="single" w:sz="4" w:space="0" w:color="auto"/>
            </w:tcBorders>
          </w:tcPr>
          <w:p w:rsidR="00CD08ED" w:rsidRPr="0057138A" w:rsidRDefault="00CD08ED" w:rsidP="007371F5">
            <w:r w:rsidRPr="0057138A">
              <w:t>1019.77</w:t>
            </w:r>
          </w:p>
        </w:tc>
      </w:tr>
    </w:tbl>
    <w:p w:rsidR="00CD08ED" w:rsidRPr="0057138A" w:rsidRDefault="00CD08ED" w:rsidP="00CD08ED">
      <w:pPr>
        <w:tabs>
          <w:tab w:val="left" w:pos="284"/>
          <w:tab w:val="left" w:pos="426"/>
        </w:tabs>
        <w:jc w:val="both"/>
      </w:pPr>
    </w:p>
    <w:p w:rsidR="00FF27DF" w:rsidRDefault="00CD08ED" w:rsidP="00FF27DF">
      <w:pPr>
        <w:tabs>
          <w:tab w:val="left" w:pos="284"/>
          <w:tab w:val="left" w:pos="426"/>
        </w:tabs>
        <w:ind w:firstLine="709"/>
        <w:jc w:val="both"/>
      </w:pPr>
      <w:r w:rsidRPr="0057138A">
        <w:t>Mokykloje atlikti patikrinimai: 2021 m. lapkričio 9 d. Valstybinės maisto ir veterinarijos tarnybos Klaipėdos departamentas atliko planinį patikrinimą. Patikrinimo metu nustatyti pažeidimai pašalinti. Dėl lėšų poreikio maisto sandėliavimo inventoriui atnaujinti, kad atitiktų higienos normos reikalavimus, 2021 m. lapkričio 15 d. siunčiamu raštu Nr. (2.4E) S1-51 kreiptasi į Klaipėdos m. savivaldybės administracijos direktorių.</w:t>
      </w:r>
    </w:p>
    <w:p w:rsidR="00CD08ED" w:rsidRPr="0057138A" w:rsidRDefault="00CD08ED" w:rsidP="00FF27DF">
      <w:pPr>
        <w:tabs>
          <w:tab w:val="left" w:pos="284"/>
          <w:tab w:val="left" w:pos="426"/>
        </w:tabs>
        <w:ind w:firstLine="709"/>
        <w:jc w:val="both"/>
      </w:pPr>
      <w:r w:rsidRPr="0057138A">
        <w:t>2021 m. Mokykloje liko neišspręstos tokios vidaus ir išorės faktorių sąlygotos problemos:</w:t>
      </w:r>
    </w:p>
    <w:p w:rsidR="00CD08ED" w:rsidRPr="0057138A" w:rsidRDefault="00CD08ED" w:rsidP="00FF27DF">
      <w:pPr>
        <w:tabs>
          <w:tab w:val="left" w:pos="284"/>
          <w:tab w:val="left" w:pos="426"/>
        </w:tabs>
        <w:ind w:firstLine="709"/>
        <w:jc w:val="both"/>
        <w:rPr>
          <w:lang w:eastAsia="lt-LT"/>
        </w:rPr>
      </w:pPr>
      <w:r w:rsidRPr="0057138A">
        <w:t xml:space="preserve">1. </w:t>
      </w:r>
      <w:r w:rsidRPr="0057138A">
        <w:rPr>
          <w:lang w:eastAsia="lt-LT"/>
        </w:rPr>
        <w:t>Karštuoju sezonu, užtikrinant saugias sąlygas grupėse ir lauke, būtina įrengti karštį sulaikančias langų žaliuzes, įsigyti lauko pavėsinių.</w:t>
      </w:r>
    </w:p>
    <w:p w:rsidR="00CD08ED" w:rsidRPr="0057138A" w:rsidRDefault="00CD08ED" w:rsidP="00FF27DF">
      <w:pPr>
        <w:tabs>
          <w:tab w:val="left" w:pos="284"/>
          <w:tab w:val="left" w:pos="426"/>
        </w:tabs>
        <w:ind w:firstLine="709"/>
        <w:jc w:val="both"/>
        <w:rPr>
          <w:lang w:eastAsia="lt-LT"/>
        </w:rPr>
      </w:pPr>
      <w:r w:rsidRPr="0057138A">
        <w:rPr>
          <w:lang w:eastAsia="lt-LT"/>
        </w:rPr>
        <w:t>2. Kokybiškam įsitraukimui į virtualius posėdžius, mokymus, tėvų susirinkimus aktualu atnaujinti turimus kompiuterius bei užtikrinti kokybiškas interneto prieigas.</w:t>
      </w:r>
    </w:p>
    <w:p w:rsidR="00CD08ED" w:rsidRPr="0057138A" w:rsidRDefault="00CD08ED" w:rsidP="00FF27DF">
      <w:pPr>
        <w:tabs>
          <w:tab w:val="left" w:pos="284"/>
          <w:tab w:val="left" w:pos="426"/>
        </w:tabs>
        <w:ind w:firstLine="709"/>
        <w:jc w:val="both"/>
        <w:rPr>
          <w:lang w:eastAsia="lt-LT"/>
        </w:rPr>
      </w:pPr>
      <w:r w:rsidRPr="0057138A">
        <w:rPr>
          <w:lang w:eastAsia="lt-LT"/>
        </w:rPr>
        <w:t xml:space="preserve">3. Mokykloje nėra sporto aikštelės. Yra nefunkcionalių kiemo erdvių. </w:t>
      </w:r>
    </w:p>
    <w:p w:rsidR="00CD08ED" w:rsidRPr="0057138A" w:rsidRDefault="00CD08ED" w:rsidP="00FF27DF">
      <w:pPr>
        <w:tabs>
          <w:tab w:val="left" w:pos="284"/>
          <w:tab w:val="left" w:pos="426"/>
        </w:tabs>
        <w:ind w:firstLine="709"/>
        <w:jc w:val="both"/>
        <w:rPr>
          <w:u w:val="single"/>
          <w:lang w:eastAsia="lt-LT"/>
        </w:rPr>
      </w:pPr>
      <w:r w:rsidRPr="0057138A">
        <w:rPr>
          <w:lang w:eastAsia="lt-LT"/>
        </w:rPr>
        <w:t xml:space="preserve">4. Atnaujinus takelius teritorijoje, vaikams būtų saugu veikti lauke. Atlikus kapitalinį pastato fasado remontą, pagerėtų Mokyklos techniniai parametrai ir estetinis vaizdas. </w:t>
      </w:r>
    </w:p>
    <w:p w:rsidR="00D57F27" w:rsidRDefault="00CD08ED" w:rsidP="00FF27DF">
      <w:pPr>
        <w:ind w:firstLine="709"/>
        <w:jc w:val="both"/>
      </w:pPr>
      <w:r w:rsidRPr="0057138A">
        <w:t xml:space="preserve">Planuodama 2022 metų veiklą, mokyklos bendruomenė susitarė prioritetinį dėmesį skirti teikiamų ikimokyklinio ir priešmokyklinio ugdymo paslaugų efektyvinimui. Prioritetinio tikslo bus siekiama sudarant sąlygas vaikų saviraiškai, sveikatos stiprinimui, didinant ugdymo veiksmingumą, skatinant mokytojų kvalifikacijos augimą, kuriant įstaigą reprezentuojančią ugdymosi aplinką. </w:t>
      </w:r>
      <w:r w:rsidRPr="0057138A">
        <w:rPr>
          <w:lang w:eastAsia="lt-LT"/>
        </w:rPr>
        <w:t>2022 m. veikla bus vertinama pagal mokinių pasiekimų augimą</w:t>
      </w:r>
      <w:r w:rsidRPr="0057138A">
        <w:rPr>
          <w:bCs/>
        </w:rPr>
        <w:t xml:space="preserve">, </w:t>
      </w:r>
      <w:r w:rsidRPr="0057138A">
        <w:t xml:space="preserve">sąlygų </w:t>
      </w:r>
      <w:r w:rsidRPr="0057138A">
        <w:rPr>
          <w:bCs/>
        </w:rPr>
        <w:t>ikimokyklinio, priešmokyklinio, neformaliojo ugdymo programų įgyvendinimui,</w:t>
      </w:r>
      <w:r w:rsidRPr="0057138A">
        <w:t xml:space="preserve"> patirtiniam mokymuisi gerėjimą, mokytojų lyderystės raišką, švietimo pagalbos efektyvumą bei mokyklos patrauklumo augimą.</w:t>
      </w:r>
    </w:p>
    <w:p w:rsidR="00CD08ED" w:rsidRDefault="00CD08ED" w:rsidP="00CD08ED">
      <w:pPr>
        <w:jc w:val="both"/>
      </w:pPr>
    </w:p>
    <w:p w:rsidR="00CD08ED" w:rsidRDefault="00CD08ED" w:rsidP="00CD08ED">
      <w:pPr>
        <w:jc w:val="both"/>
      </w:pPr>
    </w:p>
    <w:p w:rsidR="00CD08ED" w:rsidRPr="00832CC9" w:rsidRDefault="00CD08ED" w:rsidP="00CD08ED">
      <w:pPr>
        <w:jc w:val="both"/>
      </w:pPr>
      <w:r>
        <w:t>Direktorė</w:t>
      </w:r>
      <w:r>
        <w:tab/>
      </w:r>
      <w:r>
        <w:tab/>
      </w:r>
      <w:r>
        <w:tab/>
      </w:r>
      <w:r>
        <w:tab/>
      </w:r>
      <w:r>
        <w:tab/>
      </w:r>
      <w:r>
        <w:tab/>
        <w:t>Andželika Jasienė</w:t>
      </w:r>
    </w:p>
    <w:sectPr w:rsidR="00CD08ED"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C3A1C">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A7F7E"/>
    <w:rsid w:val="00116DF4"/>
    <w:rsid w:val="0019615E"/>
    <w:rsid w:val="0034183E"/>
    <w:rsid w:val="004476DD"/>
    <w:rsid w:val="004C3A1C"/>
    <w:rsid w:val="00597EE8"/>
    <w:rsid w:val="005B434A"/>
    <w:rsid w:val="005F495C"/>
    <w:rsid w:val="00832CC9"/>
    <w:rsid w:val="008354D5"/>
    <w:rsid w:val="008E6E82"/>
    <w:rsid w:val="00AF7D08"/>
    <w:rsid w:val="00B750B6"/>
    <w:rsid w:val="00C57681"/>
    <w:rsid w:val="00CA4D3B"/>
    <w:rsid w:val="00CD08ED"/>
    <w:rsid w:val="00D42B72"/>
    <w:rsid w:val="00D57F27"/>
    <w:rsid w:val="00E33871"/>
    <w:rsid w:val="00E56A73"/>
    <w:rsid w:val="00F1275A"/>
    <w:rsid w:val="00F72A1E"/>
    <w:rsid w:val="00FF27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5509A"/>
  <w15:docId w15:val="{1AF12758-B667-454F-A3E5-36B69D660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6454</Words>
  <Characters>3680</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6</cp:revision>
  <dcterms:created xsi:type="dcterms:W3CDTF">2022-02-24T06:01:00Z</dcterms:created>
  <dcterms:modified xsi:type="dcterms:W3CDTF">2022-03-01T13:57:00Z</dcterms:modified>
</cp:coreProperties>
</file>